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5.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795" w:leader="none"/>
        </w:tabs>
        <w:snapToGrid w:val="false"/>
        <w:jc w:val="center"/>
        <w:rPr/>
      </w:pPr>
      <w:r>
        <w:rPr>
          <w:rFonts w:eastAsia="Calibri" w:cs="Times New Roman"/>
          <w:b w:val="false"/>
          <w:bCs w:val="false"/>
          <w:color w:val="auto"/>
          <w:sz w:val="24"/>
          <w:szCs w:val="24"/>
          <w:lang w:val="ru-RU" w:eastAsia="en-US" w:bidi="ar-SA"/>
        </w:rPr>
        <w:t>УПРАВЛЕНИЕ НАДЗОРНОЙ ДЕЯТЕЛЬНОСТИ И ПРОФИЛАКТИЧЕСКОЙ РАБОТЫ ГЛАВНОГО УПРАВЛЕНИЯ МИНИСТЕРСТВО РОССИЙСКОЙ ФЕДЕРАЦИИ ПО ДЕЛАМ ГРАЖДАНСКОЙ ОБОРОНЫ, ЧРЕЗВЫЧАЙНЫМ СИТУАЦИЯМ И ЛИКВИДАЦИИ  ПОСЛЕДСТВИЙ СТИХИЙНЫХ БЕДСТВИЙ ПО РЕСПУБЛИКЕ КАРЕЛИЯ</w:t>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jc w:val="center"/>
        <w:rPr>
          <w:b w:val="false"/>
          <w:bCs w:val="false"/>
          <w:sz w:val="32"/>
          <w:szCs w:val="32"/>
        </w:rPr>
      </w:pPr>
      <w:r>
        <w:rPr>
          <w:b w:val="false"/>
          <w:bCs w:val="false"/>
          <w:sz w:val="32"/>
          <w:szCs w:val="32"/>
        </w:rPr>
        <w:t>Методические рекомендации по вопросам обеспечения пожарной безопасности органами местного самоуправления</w:t>
      </w:r>
    </w:p>
    <w:p>
      <w:pPr>
        <w:pStyle w:val="Style17"/>
        <w:spacing w:before="0" w:after="0"/>
        <w:jc w:val="center"/>
        <w:rPr>
          <w:b/>
          <w:sz w:val="32"/>
          <w:szCs w:val="32"/>
        </w:rPr>
      </w:pPr>
      <w:r>
        <w:rPr>
          <w:b/>
          <w:sz w:val="32"/>
          <w:szCs w:val="32"/>
        </w:rPr>
      </w:r>
    </w:p>
    <w:p>
      <w:pPr>
        <w:pStyle w:val="Style17"/>
        <w:spacing w:before="0" w:after="0"/>
        <w:jc w:val="center"/>
        <w:rPr>
          <w:b/>
          <w:sz w:val="28"/>
          <w:szCs w:val="28"/>
        </w:rPr>
      </w:pPr>
      <w:r>
        <w:rPr>
          <w:b/>
          <w:sz w:val="28"/>
          <w:szCs w:val="28"/>
        </w:rPr>
      </w:r>
    </w:p>
    <w:p>
      <w:pPr>
        <w:pStyle w:val="Style17"/>
        <w:spacing w:before="0" w:after="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ind w:firstLine="540"/>
        <w:jc w:val="center"/>
        <w:rPr>
          <w:b/>
          <w:sz w:val="28"/>
          <w:szCs w:val="28"/>
        </w:rPr>
      </w:pPr>
      <w:r>
        <w:rPr>
          <w:b/>
          <w:sz w:val="28"/>
          <w:szCs w:val="28"/>
        </w:rPr>
      </w:r>
    </w:p>
    <w:p>
      <w:pPr>
        <w:pStyle w:val="Style17"/>
        <w:spacing w:before="0" w:after="0"/>
        <w:jc w:val="center"/>
        <w:rPr/>
      </w:pPr>
      <w:r>
        <w:rPr>
          <w:sz w:val="28"/>
          <w:szCs w:val="28"/>
        </w:rPr>
        <w:t>г. Петрозаводск</w:t>
      </w:r>
    </w:p>
    <w:p>
      <w:pPr>
        <w:sectPr>
          <w:headerReference w:type="even" r:id="rId2"/>
          <w:headerReference w:type="default" r:id="rId3"/>
          <w:type w:val="nextPage"/>
          <w:pgSz w:w="11906" w:h="16838"/>
          <w:pgMar w:left="1417" w:right="571" w:gutter="0" w:header="1134" w:top="1560" w:footer="0" w:bottom="1134"/>
          <w:pgNumType w:start="1" w:fmt="decimal"/>
          <w:formProt w:val="false"/>
          <w:textDirection w:val="lrTb"/>
          <w:docGrid w:type="default" w:linePitch="360" w:charSpace="0"/>
        </w:sectPr>
        <w:pStyle w:val="Style17"/>
        <w:spacing w:before="0" w:after="0"/>
        <w:jc w:val="center"/>
        <w:rPr>
          <w:sz w:val="28"/>
          <w:szCs w:val="28"/>
        </w:rPr>
      </w:pPr>
      <w:r>
        <w:rPr>
          <w:sz w:val="28"/>
          <w:szCs w:val="28"/>
        </w:rPr>
        <w:t xml:space="preserve"> </w:t>
      </w:r>
      <w:r>
        <w:rPr>
          <w:sz w:val="28"/>
          <w:szCs w:val="28"/>
        </w:rPr>
        <w:t>20</w:t>
      </w:r>
      <w:r>
        <w:rPr>
          <w:sz w:val="28"/>
          <w:szCs w:val="28"/>
          <w:lang w:val="ru-RU"/>
        </w:rPr>
        <w:t>23</w:t>
      </w:r>
    </w:p>
    <w:p>
      <w:pPr>
        <w:pStyle w:val="Style17"/>
        <w:spacing w:before="0" w:after="0"/>
        <w:ind w:left="0" w:right="0" w:firstLine="540"/>
        <w:jc w:val="both"/>
        <w:rPr>
          <w:b w:val="false"/>
          <w:bCs w:val="false"/>
          <w:sz w:val="28"/>
          <w:szCs w:val="28"/>
        </w:rPr>
      </w:pPr>
      <w:r>
        <w:rPr>
          <w:b w:val="false"/>
          <w:bCs w:val="false"/>
          <w:sz w:val="28"/>
          <w:szCs w:val="28"/>
        </w:rPr>
      </w:r>
    </w:p>
    <w:p>
      <w:pPr>
        <w:pStyle w:val="Style17"/>
        <w:spacing w:before="0" w:after="0"/>
        <w:ind w:left="0" w:right="0" w:firstLine="540"/>
        <w:jc w:val="both"/>
        <w:rPr/>
      </w:pPr>
      <w:r>
        <w:rPr>
          <w:b w:val="false"/>
          <w:bCs w:val="false"/>
          <w:sz w:val="28"/>
          <w:szCs w:val="28"/>
        </w:rPr>
        <w:t>Данные методические рекомендации разработаны отделом нормативно-техническим управления надзорной деятельности и профилактической работы Главного управления МЧС России по Республике Карелия.</w:t>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p>
      <w:pPr>
        <w:pStyle w:val="Style17"/>
        <w:spacing w:before="0" w:after="0"/>
        <w:ind w:firstLine="540"/>
        <w:jc w:val="both"/>
        <w:rPr>
          <w:sz w:val="28"/>
          <w:szCs w:val="28"/>
        </w:rPr>
      </w:pPr>
      <w:r>
        <w:rPr>
          <w:sz w:val="28"/>
          <w:szCs w:val="28"/>
        </w:rPr>
      </w:r>
    </w:p>
    <w:tbl>
      <w:tblPr>
        <w:tblW w:w="9922" w:type="dxa"/>
        <w:jc w:val="left"/>
        <w:tblInd w:w="113" w:type="dxa"/>
        <w:tblLayout w:type="fixed"/>
        <w:tblCellMar>
          <w:top w:w="55" w:type="dxa"/>
          <w:left w:w="108" w:type="dxa"/>
          <w:bottom w:w="55" w:type="dxa"/>
          <w:right w:w="108" w:type="dxa"/>
        </w:tblCellMar>
      </w:tblPr>
      <w:tblGrid>
        <w:gridCol w:w="8152"/>
        <w:gridCol w:w="1769"/>
      </w:tblGrid>
      <w:tr>
        <w:trPr/>
        <w:tc>
          <w:tcPr>
            <w:tcW w:w="9921"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sz w:val="28"/>
                <w:szCs w:val="28"/>
                <w:highlight w:val="yellow"/>
              </w:rPr>
            </w:pPr>
            <w:r>
              <w:rPr>
                <w:sz w:val="28"/>
                <w:szCs w:val="28"/>
              </w:rPr>
              <w:t>Содержание</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sz w:val="28"/>
                <w:szCs w:val="28"/>
              </w:rPr>
              <w:t>Введение</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t>4</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sz w:val="28"/>
                <w:szCs w:val="28"/>
              </w:rPr>
              <w:t>Полномочия органов местного самоуправления</w:t>
            </w:r>
          </w:p>
          <w:p>
            <w:pPr>
              <w:pStyle w:val="Normal"/>
              <w:widowControl w:val="false"/>
              <w:jc w:val="both"/>
              <w:rPr/>
            </w:pPr>
            <w:r>
              <w:rPr>
                <w:sz w:val="28"/>
                <w:szCs w:val="28"/>
              </w:rPr>
              <w:t>по обеспечению пожарной безопасности в соответствующих границах муниципального образования</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4-6</w:t>
            </w:r>
          </w:p>
        </w:tc>
      </w:tr>
      <w:tr>
        <w:trPr/>
        <w:tc>
          <w:tcPr>
            <w:tcW w:w="8152" w:type="dxa"/>
            <w:tcBorders>
              <w:left w:val="single" w:sz="4" w:space="0" w:color="000000"/>
              <w:bottom w:val="single" w:sz="4" w:space="0" w:color="000000"/>
            </w:tcBorders>
            <w:shd w:fill="auto" w:val="clear"/>
          </w:tcPr>
          <w:p>
            <w:pPr>
              <w:pStyle w:val="Normal"/>
              <w:widowControl w:val="false"/>
              <w:jc w:val="both"/>
              <w:rPr>
                <w:rFonts w:ascii="Times New Roman" w:hAnsi="Times New Roman" w:eastAsia="Times New Roman" w:cs="Times New Roman"/>
                <w:color w:val="auto"/>
                <w:kern w:val="0"/>
                <w:sz w:val="28"/>
                <w:szCs w:val="28"/>
                <w:lang w:val="ru-RU" w:eastAsia="zh-CN" w:bidi="ar-SA"/>
              </w:rPr>
            </w:pPr>
            <w:r>
              <w:rPr>
                <w:rFonts w:eastAsia="Times New Roman" w:cs="Times New Roman"/>
                <w:color w:val="auto"/>
                <w:kern w:val="0"/>
                <w:sz w:val="28"/>
                <w:szCs w:val="28"/>
                <w:lang w:val="ru-RU" w:eastAsia="zh-CN" w:bidi="ar-SA"/>
              </w:rPr>
              <w:t>Литература</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rFonts w:ascii="Times New Roman" w:hAnsi="Times New Roman" w:eastAsia="Times New Roman" w:cs="Times New Roman"/>
                <w:color w:val="auto"/>
                <w:kern w:val="0"/>
                <w:sz w:val="28"/>
                <w:szCs w:val="28"/>
                <w:lang w:val="ru-RU" w:eastAsia="zh-CN" w:bidi="ar-SA"/>
              </w:rPr>
            </w:pPr>
            <w:r>
              <w:rPr>
                <w:rFonts w:eastAsia="Times New Roman" w:cs="Times New Roman"/>
                <w:color w:val="auto"/>
                <w:kern w:val="0"/>
                <w:sz w:val="28"/>
                <w:szCs w:val="28"/>
                <w:lang w:val="ru-RU" w:eastAsia="zh-CN" w:bidi="ar-SA"/>
              </w:rPr>
              <w:t>6</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 xml:space="preserve">Приложение № 1. </w:t>
            </w:r>
            <w:r>
              <w:rPr>
                <w:rFonts w:eastAsia="Times New Roman" w:cs="Times New Roman"/>
                <w:b w:val="false"/>
                <w:color w:val="auto"/>
                <w:kern w:val="0"/>
                <w:sz w:val="28"/>
                <w:szCs w:val="28"/>
                <w:lang w:val="ru-RU" w:eastAsia="zh-CN" w:bidi="ar-SA"/>
              </w:rPr>
              <w:t>Пример муниципального правового акта об обеспечении  первичных мер  пожарной безопасности в границах муниципального образования</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7-14</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 xml:space="preserve">Приложение № 2. </w:t>
            </w:r>
            <w:r>
              <w:rPr>
                <w:rFonts w:eastAsia="Times New Roman" w:cs="Times New Roman"/>
                <w:b w:val="false"/>
                <w:bCs/>
                <w:color w:val="auto"/>
                <w:kern w:val="0"/>
                <w:sz w:val="28"/>
                <w:szCs w:val="28"/>
                <w:lang w:val="ru-RU" w:eastAsia="zh-CN" w:bidi="ar-SA"/>
              </w:rPr>
              <w:t>Пример муниципального правового акта об определении форм участия граждан в обеспечении первичных мер пожарной безопасности, в том числе  в деятельности добровольной пожарной охраны</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15-18</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 xml:space="preserve">Приложение № 3. </w:t>
            </w:r>
            <w:r>
              <w:rPr>
                <w:rFonts w:eastAsia="Times New Roman" w:cs="Times New Roman"/>
                <w:b w:val="false"/>
                <w:bCs/>
                <w:color w:val="auto"/>
                <w:kern w:val="0"/>
                <w:sz w:val="28"/>
                <w:szCs w:val="28"/>
                <w:lang w:val="ru-RU" w:eastAsia="zh-CN" w:bidi="ar-SA"/>
              </w:rPr>
              <w:t>Пример муниципального правового акта об оснащении территории общего пользования первичными средствами пожаротушения и противопожарным инвентарём</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19-21</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П</w:t>
            </w:r>
            <w:r>
              <w:rPr>
                <w:rFonts w:eastAsia="Times New Roman" w:cs="Times New Roman"/>
                <w:b w:val="false"/>
                <w:bCs/>
                <w:color w:val="auto"/>
                <w:kern w:val="0"/>
                <w:sz w:val="28"/>
                <w:szCs w:val="28"/>
                <w:lang w:val="ru-RU" w:eastAsia="zh-CN" w:bidi="ar-SA"/>
              </w:rPr>
              <w:t>риложение № 4. Пример муниципального правового акта об организации пожарно-профилактической работы в жилом секторе и на объектах с массовым пребыванием людей</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22-24</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Прило</w:t>
            </w:r>
            <w:r>
              <w:rPr>
                <w:rFonts w:eastAsia="Times New Roman" w:cs="Times New Roman"/>
                <w:b w:val="false"/>
                <w:bCs/>
                <w:color w:val="auto"/>
                <w:kern w:val="0"/>
                <w:sz w:val="28"/>
                <w:szCs w:val="28"/>
                <w:lang w:val="ru-RU" w:eastAsia="zh-CN" w:bidi="ar-SA"/>
              </w:rPr>
              <w:t>жение № 5. Пример муниципального правового акта о проведении противопожарной пропаганды на территории муниципального образования</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sz w:val="28"/>
                <w:szCs w:val="28"/>
              </w:rPr>
            </w:pPr>
            <w:r>
              <w:rPr>
                <w:sz w:val="28"/>
                <w:szCs w:val="28"/>
              </w:rPr>
            </w:r>
          </w:p>
          <w:p>
            <w:pPr>
              <w:pStyle w:val="Normal"/>
              <w:widowControl w:val="false"/>
              <w:jc w:val="center"/>
              <w:rPr>
                <w:sz w:val="28"/>
                <w:szCs w:val="28"/>
              </w:rPr>
            </w:pPr>
            <w:r>
              <w:rPr>
                <w:sz w:val="28"/>
                <w:szCs w:val="28"/>
              </w:rPr>
            </w:r>
          </w:p>
          <w:p>
            <w:pPr>
              <w:pStyle w:val="Normal"/>
              <w:widowControl w:val="false"/>
              <w:jc w:val="center"/>
              <w:rPr>
                <w:lang w:val="ru-RU"/>
              </w:rPr>
            </w:pPr>
            <w:r>
              <w:rPr>
                <w:sz w:val="28"/>
                <w:szCs w:val="28"/>
                <w:lang w:val="ru-RU"/>
              </w:rPr>
              <w:t>25-28</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Приложение № 6</w:t>
            </w:r>
            <w:r>
              <w:rPr>
                <w:rFonts w:eastAsia="Times New Roman" w:cs="Times New Roman"/>
                <w:b w:val="false"/>
                <w:bCs/>
                <w:color w:val="auto"/>
                <w:kern w:val="0"/>
                <w:sz w:val="28"/>
                <w:szCs w:val="28"/>
                <w:lang w:val="ru-RU" w:eastAsia="zh-CN" w:bidi="ar-SA"/>
              </w:rPr>
              <w:t>. Пример муниципального правового акта об утверждении порядка установления особого противопожарного режима на территории муниципального образования</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pPr>
            <w:r>
              <w:rPr/>
            </w:r>
          </w:p>
          <w:p>
            <w:pPr>
              <w:pStyle w:val="Normal"/>
              <w:widowControl w:val="false"/>
              <w:jc w:val="center"/>
              <w:rPr/>
            </w:pPr>
            <w:r>
              <w:rPr/>
            </w:r>
          </w:p>
          <w:p>
            <w:pPr>
              <w:pStyle w:val="Normal"/>
              <w:widowControl w:val="false"/>
              <w:jc w:val="center"/>
              <w:rPr>
                <w:rFonts w:ascii="Times New Roman" w:hAnsi="Times New Roman" w:eastAsia="Times New Roman" w:cs="Times New Roman"/>
                <w:color w:val="auto"/>
                <w:kern w:val="0"/>
                <w:sz w:val="28"/>
                <w:szCs w:val="28"/>
                <w:lang w:val="ru-RU" w:eastAsia="zh-CN" w:bidi="ar-SA"/>
              </w:rPr>
            </w:pPr>
            <w:r>
              <w:rPr>
                <w:rFonts w:eastAsia="Times New Roman" w:cs="Times New Roman"/>
                <w:color w:val="auto"/>
                <w:kern w:val="0"/>
                <w:sz w:val="28"/>
                <w:szCs w:val="28"/>
                <w:lang w:val="ru-RU" w:eastAsia="zh-CN" w:bidi="ar-SA"/>
              </w:rPr>
              <w:t>29-34</w:t>
            </w:r>
          </w:p>
        </w:tc>
      </w:tr>
      <w:tr>
        <w:trPr/>
        <w:tc>
          <w:tcPr>
            <w:tcW w:w="8152" w:type="dxa"/>
            <w:tcBorders>
              <w:left w:val="single" w:sz="4" w:space="0" w:color="000000"/>
              <w:bottom w:val="single" w:sz="4" w:space="0" w:color="000000"/>
            </w:tcBorders>
            <w:shd w:fill="auto" w:val="clear"/>
          </w:tcPr>
          <w:p>
            <w:pPr>
              <w:pStyle w:val="Normal"/>
              <w:widowControl w:val="false"/>
              <w:jc w:val="both"/>
              <w:rPr/>
            </w:pPr>
            <w:r>
              <w:rPr>
                <w:rFonts w:eastAsia="Times New Roman" w:cs="Times New Roman"/>
                <w:color w:val="auto"/>
                <w:kern w:val="0"/>
                <w:sz w:val="28"/>
                <w:szCs w:val="28"/>
                <w:lang w:val="ru-RU" w:eastAsia="zh-CN" w:bidi="ar-SA"/>
              </w:rPr>
              <w:t>П</w:t>
            </w:r>
            <w:r>
              <w:rPr>
                <w:rFonts w:eastAsia="Times New Roman" w:cs="Times New Roman"/>
                <w:b w:val="false"/>
                <w:bCs/>
                <w:color w:val="auto"/>
                <w:kern w:val="0"/>
                <w:sz w:val="28"/>
                <w:szCs w:val="28"/>
                <w:lang w:val="ru-RU" w:eastAsia="zh-CN" w:bidi="ar-SA"/>
              </w:rPr>
              <w:t>риложение № 7. Пример муниципального правового акта о разработке и утверждении паспорта населённого пункта, паспортов территории</w:t>
            </w:r>
          </w:p>
        </w:tc>
        <w:tc>
          <w:tcPr>
            <w:tcW w:w="1769" w:type="dxa"/>
            <w:tcBorders>
              <w:left w:val="single" w:sz="4" w:space="0" w:color="000000"/>
              <w:bottom w:val="single" w:sz="4" w:space="0" w:color="000000"/>
              <w:right w:val="single" w:sz="4" w:space="0" w:color="000000"/>
            </w:tcBorders>
            <w:shd w:fill="auto" w:val="clear"/>
          </w:tcPr>
          <w:p>
            <w:pPr>
              <w:pStyle w:val="Normal"/>
              <w:widowControl w:val="false"/>
              <w:jc w:val="center"/>
              <w:rPr/>
            </w:pPr>
            <w:r>
              <w:rPr/>
            </w:r>
          </w:p>
          <w:p>
            <w:pPr>
              <w:pStyle w:val="Normal"/>
              <w:widowControl w:val="false"/>
              <w:jc w:val="center"/>
              <w:rPr/>
            </w:pPr>
            <w:r>
              <w:rPr/>
            </w:r>
          </w:p>
          <w:p>
            <w:pPr>
              <w:pStyle w:val="Normal"/>
              <w:widowControl w:val="false"/>
              <w:jc w:val="center"/>
              <w:rPr>
                <w:rFonts w:ascii="Times New Roman" w:hAnsi="Times New Roman" w:eastAsia="Times New Roman" w:cs="Times New Roman"/>
                <w:color w:val="auto"/>
                <w:kern w:val="0"/>
                <w:sz w:val="28"/>
                <w:szCs w:val="28"/>
                <w:lang w:val="ru-RU" w:eastAsia="zh-CN" w:bidi="ar-SA"/>
              </w:rPr>
            </w:pPr>
            <w:r>
              <w:rPr>
                <w:rFonts w:eastAsia="Times New Roman" w:cs="Times New Roman"/>
                <w:color w:val="auto"/>
                <w:kern w:val="0"/>
                <w:sz w:val="28"/>
                <w:szCs w:val="28"/>
                <w:lang w:val="ru-RU" w:eastAsia="zh-CN" w:bidi="ar-SA"/>
              </w:rPr>
              <w:t>35-44</w:t>
            </w:r>
          </w:p>
        </w:tc>
      </w:tr>
    </w:tbl>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center"/>
        <w:rPr/>
      </w:pPr>
      <w:r>
        <w:rPr>
          <w:sz w:val="28"/>
          <w:szCs w:val="28"/>
        </w:rPr>
        <w:t>Введение</w:t>
      </w:r>
    </w:p>
    <w:p>
      <w:pPr>
        <w:pStyle w:val="Normal"/>
        <w:jc w:val="center"/>
        <w:rPr>
          <w:sz w:val="28"/>
          <w:szCs w:val="28"/>
        </w:rPr>
      </w:pPr>
      <w:r>
        <w:rPr>
          <w:sz w:val="28"/>
          <w:szCs w:val="28"/>
        </w:rPr>
      </w:r>
    </w:p>
    <w:p>
      <w:pPr>
        <w:pStyle w:val="Normal"/>
        <w:ind w:left="0" w:right="0" w:firstLine="709"/>
        <w:jc w:val="both"/>
        <w:rPr>
          <w:rFonts w:ascii="Times New Roman" w:hAnsi="Times New Roman" w:eastAsia="Times New Roman" w:cs="Times New Roman"/>
          <w:color w:val="auto"/>
          <w:kern w:val="0"/>
          <w:sz w:val="28"/>
          <w:szCs w:val="28"/>
          <w:lang w:val="ru-RU" w:eastAsia="zh-CN" w:bidi="ar-SA"/>
        </w:rPr>
      </w:pPr>
      <w:r>
        <w:rPr>
          <w:rFonts w:eastAsia="Times New Roman" w:cs="Times New Roman"/>
          <w:color w:val="auto"/>
          <w:kern w:val="0"/>
          <w:sz w:val="28"/>
          <w:szCs w:val="28"/>
          <w:lang w:val="ru-RU" w:eastAsia="zh-CN" w:bidi="ar-SA"/>
        </w:rPr>
        <w:t>Настоящие Методические рекомендации разработаны с целью обеспечения единого подхода к оценке реализации полномочий органами местного самоуправления по пожарной безопасности при проведении контрольных (надзорных) мероприятий сотрудниками органов государственного пожарного надзора Республики Карелия.</w:t>
      </w:r>
    </w:p>
    <w:p>
      <w:pPr>
        <w:pStyle w:val="Normal"/>
        <w:ind w:left="0" w:right="0" w:firstLine="709"/>
        <w:jc w:val="both"/>
        <w:rPr>
          <w:sz w:val="28"/>
          <w:szCs w:val="28"/>
        </w:rPr>
      </w:pPr>
      <w:r>
        <w:rPr>
          <w:sz w:val="28"/>
          <w:szCs w:val="28"/>
        </w:rPr>
      </w:r>
    </w:p>
    <w:p>
      <w:pPr>
        <w:pStyle w:val="Normal"/>
        <w:jc w:val="center"/>
        <w:rPr/>
      </w:pPr>
      <w:r>
        <w:rPr>
          <w:sz w:val="28"/>
          <w:szCs w:val="28"/>
        </w:rPr>
        <w:t>Полномочия органов местного самоуправления</w:t>
      </w:r>
    </w:p>
    <w:p>
      <w:pPr>
        <w:pStyle w:val="Normal"/>
        <w:jc w:val="center"/>
        <w:rPr>
          <w:sz w:val="28"/>
          <w:szCs w:val="28"/>
        </w:rPr>
      </w:pPr>
      <w:r>
        <w:rPr>
          <w:sz w:val="28"/>
          <w:szCs w:val="28"/>
        </w:rPr>
        <w:t>по обеспечению пожарной безопасности в соответствующих границах муниципального образования</w:t>
      </w:r>
    </w:p>
    <w:p>
      <w:pPr>
        <w:pStyle w:val="Normal"/>
        <w:jc w:val="both"/>
        <w:rPr>
          <w:sz w:val="28"/>
          <w:szCs w:val="28"/>
        </w:rPr>
      </w:pPr>
      <w:r>
        <w:rPr>
          <w:sz w:val="28"/>
          <w:szCs w:val="28"/>
        </w:rPr>
      </w:r>
    </w:p>
    <w:p>
      <w:pPr>
        <w:pStyle w:val="Normal"/>
        <w:widowControl w:val="false"/>
        <w:ind w:firstLine="709"/>
        <w:jc w:val="both"/>
        <w:rPr/>
      </w:pPr>
      <w:r>
        <w:rPr>
          <w:sz w:val="28"/>
          <w:szCs w:val="28"/>
        </w:rPr>
        <w:t xml:space="preserve">Перечень полномочий местного значения для муниципальных образований определен статьями </w:t>
      </w:r>
      <w:r>
        <w:rPr>
          <w:sz w:val="28"/>
          <w:szCs w:val="28"/>
          <w:lang w:val="ru-RU"/>
        </w:rPr>
        <w:t xml:space="preserve">14-18 </w:t>
      </w:r>
      <w:r>
        <w:rPr>
          <w:sz w:val="28"/>
          <w:szCs w:val="28"/>
        </w:rPr>
        <w:t>Федерального закона от 6 октября 2003 г.                          № 131-ФЗ «Об общих принципах организации местного самоуправления в Российской Федерации».</w:t>
      </w:r>
    </w:p>
    <w:p>
      <w:pPr>
        <w:pStyle w:val="Normal"/>
        <w:widowControl w:val="false"/>
        <w:ind w:firstLine="709"/>
        <w:jc w:val="both"/>
        <w:rPr/>
      </w:pPr>
      <w:r>
        <w:rPr>
          <w:sz w:val="28"/>
          <w:szCs w:val="28"/>
        </w:rPr>
        <w:t xml:space="preserve">К вопросам местного значения городских и сельских поселений </w:t>
      </w:r>
      <w:r>
        <w:rPr>
          <w:sz w:val="28"/>
          <w:szCs w:val="28"/>
          <w:lang w:val="ru-RU"/>
        </w:rPr>
        <w:t>(в границах на</w:t>
      </w:r>
      <w:r>
        <w:rPr>
          <w:rFonts w:eastAsia="Times New Roman" w:cs="Times New Roman"/>
          <w:color w:val="auto"/>
          <w:sz w:val="28"/>
          <w:szCs w:val="28"/>
          <w:lang w:val="ru-RU" w:bidi="ar-SA"/>
        </w:rPr>
        <w:t>селённых пунктов поселений), муниципальных районов (</w:t>
      </w:r>
      <w:r>
        <w:rPr>
          <w:rFonts w:eastAsia="Times New Roman" w:cs="Times New Roman"/>
          <w:b w:val="false"/>
          <w:color w:val="auto"/>
          <w:sz w:val="28"/>
          <w:szCs w:val="28"/>
          <w:lang w:val="ru-RU" w:bidi="ar-SA"/>
        </w:rPr>
        <w:t xml:space="preserve">в границах муниципальных районов за границами городских и сельских населённых пунктов), муниципального и городского округов (в границах муниципального, городского округа), внутригородского района (в границах внутригородского района) </w:t>
      </w:r>
      <w:r>
        <w:rPr>
          <w:sz w:val="28"/>
          <w:szCs w:val="28"/>
        </w:rPr>
        <w:t xml:space="preserve">относится </w:t>
      </w:r>
      <w:r>
        <w:rPr>
          <w:b/>
          <w:bCs/>
          <w:sz w:val="28"/>
          <w:szCs w:val="28"/>
        </w:rPr>
        <w:t xml:space="preserve">обеспечение первичных мер пожарной безопасности </w:t>
      </w:r>
      <w:r>
        <w:rPr>
          <w:b w:val="false"/>
          <w:bCs w:val="false"/>
          <w:sz w:val="28"/>
          <w:szCs w:val="28"/>
        </w:rPr>
        <w:t>в границах муниципального образования.</w:t>
      </w:r>
    </w:p>
    <w:p>
      <w:pPr>
        <w:pStyle w:val="Normal"/>
        <w:widowControl w:val="false"/>
        <w:ind w:firstLine="709"/>
        <w:jc w:val="both"/>
        <w:rPr>
          <w:b w:val="false"/>
          <w:bCs w:val="false"/>
          <w:sz w:val="28"/>
          <w:szCs w:val="28"/>
        </w:rPr>
      </w:pPr>
      <w:r>
        <w:rPr>
          <w:rFonts w:eastAsia="Times New Roman" w:cs="Times New Roman"/>
          <w:b w:val="false"/>
          <w:color w:val="auto"/>
          <w:kern w:val="0"/>
          <w:sz w:val="28"/>
          <w:szCs w:val="28"/>
          <w:lang w:val="ru-RU" w:eastAsia="zh-CN" w:bidi="ar-SA"/>
        </w:rPr>
        <w:t>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w:t>
      </w:r>
    </w:p>
    <w:p>
      <w:pPr>
        <w:pStyle w:val="Normal"/>
        <w:widowControl w:val="false"/>
        <w:ind w:firstLine="709"/>
        <w:jc w:val="both"/>
        <w:rPr/>
      </w:pPr>
      <w:r>
        <w:rPr>
          <w:rFonts w:eastAsia="Times New Roman" w:cs="Times New Roman"/>
          <w:b w:val="false"/>
          <w:bCs w:val="false"/>
          <w:color w:val="auto"/>
          <w:kern w:val="0"/>
          <w:sz w:val="28"/>
          <w:szCs w:val="28"/>
          <w:lang w:val="ru-RU" w:eastAsia="zh-CN" w:bidi="ar-SA"/>
        </w:rPr>
        <w:t xml:space="preserve">Таким образом, органы местного самоуправления несут ответственность за комплекс мероприятий, имеющий конечной целью минимизировать риски, повысить безопасность проживающего населения и сохранность материальных средств. </w:t>
      </w:r>
    </w:p>
    <w:p>
      <w:pPr>
        <w:pStyle w:val="Normal"/>
        <w:widowControl w:val="false"/>
        <w:ind w:firstLine="709"/>
        <w:jc w:val="both"/>
        <w:rPr/>
      </w:pPr>
      <w:r>
        <w:rPr>
          <w:rFonts w:eastAsia="Times New Roman" w:cs="Times New Roman"/>
          <w:color w:val="auto"/>
          <w:sz w:val="28"/>
          <w:szCs w:val="28"/>
          <w:lang w:val="ru-RU" w:bidi="ar-SA"/>
        </w:rPr>
        <w:t>Статьёй 19 Федерального закона от 21 декабря 1994 г. № 69 «О пожарной безопасности» установлены следующие полномочия органов местного самоуправления:</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 xml:space="preserve">1. В границах сельских населённых пунктов (поселений, муниципальных, городских округов, внутригородских районов) относятся:  </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создание в целях пожаротушения условий для забора в любое время года воды из источников наружного водоснабжения, расположенных в сельских населённых пунктах и на прилегающих к ним территориях;</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оснащение территорий общего пользования первичными средствами тушения пожаров и противопожарным инвентарём;</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организация и принятие мер по оповещению населения и подразделений Государственной противопожарной службы о пожаре;</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принятие мер по локализации пожара и спасению людей и имущества до прибытия подразделений Государственной противопожарной службы;</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включение мероприятий по обеспечению пожарной безопасности в планы, схемы и программы развития территорий поселений, муниципальных и городских округов;</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установление особого противопожарного режима в случае повышения пожарной опасности.</w:t>
      </w:r>
    </w:p>
    <w:p>
      <w:pPr>
        <w:pStyle w:val="Normal"/>
        <w:widowControl w:val="false"/>
        <w:ind w:firstLine="709"/>
        <w:jc w:val="both"/>
        <w:rPr>
          <w:rFonts w:ascii="Times New Roman" w:hAnsi="Times New Roman"/>
          <w:b w:val="false"/>
          <w:sz w:val="28"/>
        </w:rPr>
      </w:pPr>
      <w:r>
        <w:rPr>
          <w:rFonts w:eastAsia="Times New Roman" w:cs="Times New Roman"/>
          <w:b w:val="false"/>
          <w:color w:val="auto"/>
          <w:sz w:val="28"/>
          <w:szCs w:val="28"/>
          <w:lang w:val="ru-RU" w:bidi="ar-SA"/>
        </w:rPr>
        <w:t>2. В границах городских населённых пунктов (поселений, муниципальных, городских округов, внутригородских районов) относятся:</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включение мероприятий по обеспечению пожарной безопасности в планы, схемы и программы развития территорий поселений, муниципальных и городских округов;</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установление особого противопожарного режима в случае повышения пожарной опасности.</w:t>
      </w:r>
    </w:p>
    <w:p>
      <w:pPr>
        <w:pStyle w:val="Normal"/>
        <w:widowControl w:val="false"/>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К полномочиям органов местного самоуправления муниципальных районов относится обеспечение первичных мер пожарной безопасности в границах муниципальных районов за границами городских и сельских населённых пунктов.</w:t>
      </w:r>
    </w:p>
    <w:p>
      <w:pPr>
        <w:pStyle w:val="Normal"/>
        <w:ind w:firstLine="709"/>
        <w:jc w:val="both"/>
        <w:rPr/>
      </w:pPr>
      <w:r>
        <w:rPr>
          <w:sz w:val="28"/>
          <w:szCs w:val="28"/>
        </w:rPr>
        <w:t xml:space="preserve">Финансовое обеспечение мер первичной пожарной безопасности в границах муниципального образования является расходным обязательством муниципального образования </w:t>
      </w:r>
      <w:r>
        <w:rPr>
          <w:sz w:val="28"/>
          <w:szCs w:val="28"/>
          <w:lang w:val="ru-RU"/>
        </w:rPr>
        <w:t>(статья 10 Федерального закона о пожарной безопасности)</w:t>
      </w:r>
      <w:r>
        <w:rPr>
          <w:sz w:val="28"/>
          <w:szCs w:val="28"/>
        </w:rPr>
        <w:t>.</w:t>
      </w:r>
    </w:p>
    <w:p>
      <w:pPr>
        <w:pStyle w:val="Normal"/>
        <w:widowControl w:val="false"/>
        <w:shd w:val="clear" w:fill="FFFFFF"/>
        <w:ind w:firstLine="709"/>
        <w:jc w:val="both"/>
        <w:rPr>
          <w:rFonts w:ascii="Times New Roman" w:hAnsi="Times New Roman" w:eastAsia="Times New Roman" w:cs="Times New Roman"/>
          <w:b w:val="false"/>
          <w:color w:val="auto"/>
          <w:sz w:val="28"/>
          <w:szCs w:val="28"/>
          <w:lang w:val="ru-RU" w:bidi="ar-SA"/>
        </w:rPr>
      </w:pPr>
      <w:r>
        <w:rPr>
          <w:rFonts w:eastAsia="Times New Roman" w:cs="Times New Roman"/>
          <w:b w:val="false"/>
          <w:color w:val="auto"/>
          <w:sz w:val="28"/>
          <w:szCs w:val="28"/>
          <w:lang w:val="ru-RU" w:bidi="ar-SA"/>
        </w:rPr>
        <w:t>Вопросы организационно-правового, финансового, материально-технического обеспечения первичных мер пожарной безопасности поселений, муниципальных районов, муниципальных, городских округов, внутригородских районов устанавливаются правовыми</w:t>
      </w:r>
      <w:r>
        <w:rPr>
          <w:rFonts w:eastAsia="Times New Roman" w:cs="Times New Roman"/>
          <w:b w:val="false"/>
          <w:i w:val="false"/>
          <w:iCs w:val="false"/>
          <w:color w:val="auto"/>
          <w:sz w:val="28"/>
          <w:szCs w:val="28"/>
          <w:u w:val="none"/>
          <w:lang w:val="ru-RU" w:bidi="ar-SA"/>
        </w:rPr>
        <w:t xml:space="preserve"> актами органов местного самоуправления.</w:t>
      </w:r>
    </w:p>
    <w:p>
      <w:pPr>
        <w:pStyle w:val="Normal"/>
        <w:widowControl w:val="false"/>
        <w:shd w:val="clear" w:fill="FFFFFF"/>
        <w:ind w:firstLine="709"/>
        <w:jc w:val="both"/>
        <w:rPr>
          <w:sz w:val="28"/>
          <w:szCs w:val="28"/>
        </w:rPr>
      </w:pPr>
      <w:r>
        <w:rPr>
          <w:sz w:val="28"/>
          <w:szCs w:val="28"/>
        </w:rPr>
      </w:r>
    </w:p>
    <w:p>
      <w:pPr>
        <w:pStyle w:val="Normal"/>
        <w:ind w:firstLine="720"/>
        <w:jc w:val="both"/>
        <w:rPr/>
      </w:pPr>
      <w:r>
        <w:rPr>
          <w:sz w:val="28"/>
          <w:szCs w:val="28"/>
        </w:rPr>
        <w:t>Перечень муниципальных правовых актов, необходимых для реализации предусмотренных полномочий органами местного самоуправления:</w:t>
      </w:r>
    </w:p>
    <w:p>
      <w:pPr>
        <w:pStyle w:val="Style23"/>
        <w:widowControl/>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об обеспечении первичных мер пожарной безопасности в границах муниципального образования (приложение № 1, рекомендуемое);</w:t>
      </w:r>
    </w:p>
    <w:p>
      <w:pPr>
        <w:pStyle w:val="Style23"/>
        <w:widowControl/>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об определении форм участия граждан в обеспечении первичных мер пожарной безопасности, в том числе в деятельности добровольной пожарной охраны (приложение № 2, рекомендуемое);</w:t>
      </w:r>
    </w:p>
    <w:p>
      <w:pPr>
        <w:pStyle w:val="Style23"/>
        <w:widowControl/>
        <w:numPr>
          <w:ilvl w:val="0"/>
          <w:numId w:val="0"/>
        </w:numPr>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 xml:space="preserve">об оснащении территории общего пользования первичными средствами пожаротушения и противопожарным  инвентарём (приложение № 3, рекомендуемое); </w:t>
      </w:r>
    </w:p>
    <w:p>
      <w:pPr>
        <w:pStyle w:val="Style23"/>
        <w:widowControl/>
        <w:numPr>
          <w:ilvl w:val="0"/>
          <w:numId w:val="0"/>
        </w:numPr>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об организации пожарно-профилактической работы в жилом секторе и на объектах с массовым пребыванием людей (приложение № 4, рекомендуемое);</w:t>
      </w:r>
    </w:p>
    <w:p>
      <w:pPr>
        <w:pStyle w:val="Style23"/>
        <w:widowControl/>
        <w:numPr>
          <w:ilvl w:val="0"/>
          <w:numId w:val="0"/>
        </w:numPr>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о проведении противопожарной пропаганды (приложение № 5, рекомендуемое);</w:t>
      </w:r>
    </w:p>
    <w:p>
      <w:pPr>
        <w:pStyle w:val="Style23"/>
        <w:widowControl/>
        <w:numPr>
          <w:ilvl w:val="0"/>
          <w:numId w:val="0"/>
        </w:numPr>
        <w:suppressLineNumbers/>
        <w:bidi w:val="0"/>
        <w:ind w:left="0" w:right="0" w:firstLine="709"/>
        <w:jc w:val="both"/>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об установлении особого противопожарного режима (</w:t>
      </w:r>
      <w:r>
        <w:rPr>
          <w:rFonts w:eastAsia="Times New Roman" w:cs="Times New Roman"/>
          <w:b w:val="false"/>
          <w:bCs w:val="false"/>
          <w:i/>
          <w:iCs/>
          <w:strike w:val="false"/>
          <w:dstrike w:val="false"/>
          <w:outline w:val="false"/>
          <w:shadow w:val="false"/>
          <w:color w:val="auto"/>
          <w:sz w:val="28"/>
          <w:szCs w:val="28"/>
          <w:u w:val="none"/>
          <w:lang w:val="ru-RU" w:bidi="ar-SA"/>
        </w:rPr>
        <w:t>в случае повышения пожарной опасности</w:t>
      </w:r>
      <w:r>
        <w:rPr>
          <w:rFonts w:eastAsia="Times New Roman" w:cs="Times New Roman"/>
          <w:b w:val="false"/>
          <w:bCs w:val="false"/>
          <w:i w:val="false"/>
          <w:iCs w:val="false"/>
          <w:strike w:val="false"/>
          <w:dstrike w:val="false"/>
          <w:outline w:val="false"/>
          <w:shadow w:val="false"/>
          <w:color w:val="auto"/>
          <w:sz w:val="28"/>
          <w:szCs w:val="28"/>
          <w:u w:val="none"/>
          <w:lang w:val="ru-RU" w:bidi="ar-SA"/>
        </w:rPr>
        <w:t xml:space="preserve">) (приложение № 6, рекомендуемое); </w:t>
      </w:r>
    </w:p>
    <w:p>
      <w:pPr>
        <w:pStyle w:val="Style23"/>
        <w:widowControl/>
        <w:numPr>
          <w:ilvl w:val="0"/>
          <w:numId w:val="0"/>
        </w:numPr>
        <w:suppressLineNumbers/>
        <w:bidi w:val="0"/>
        <w:ind w:left="0" w:right="0" w:firstLine="709"/>
        <w:jc w:val="both"/>
        <w:rPr>
          <w:rFonts w:ascii="Times New Roman" w:hAnsi="Times New Roman" w:eastAsia="Times New Roman" w:cs="Times New Roman"/>
          <w:b w:val="false"/>
          <w:bCs w:val="false"/>
          <w:i w:val="false"/>
          <w:i w:val="false"/>
          <w:iCs w:val="false"/>
          <w:strike w:val="false"/>
          <w:dstrike w:val="false"/>
          <w:outline w:val="false"/>
          <w:shadow w:val="false"/>
          <w:color w:val="auto"/>
          <w:sz w:val="28"/>
          <w:szCs w:val="28"/>
          <w:u w:val="none"/>
          <w:lang w:val="ru-RU" w:bidi="ar-SA"/>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t xml:space="preserve">о разработке и утверждении паспорта населённого пункта, паспортов территории (в случае включения населённого пункта в нормативный правовой акт Республики Карелия </w:t>
      </w:r>
      <w:r>
        <w:rPr>
          <w:rFonts w:eastAsia="Times New Roman" w:cs="Times New Roman"/>
          <w:b w:val="false"/>
          <w:bCs w:val="false"/>
          <w:i/>
          <w:iCs/>
          <w:strike w:val="false"/>
          <w:dstrike w:val="false"/>
          <w:outline w:val="false"/>
          <w:shadow w:val="false"/>
          <w:color w:val="auto"/>
          <w:sz w:val="28"/>
          <w:szCs w:val="28"/>
          <w:u w:val="none"/>
          <w:lang w:val="ru-RU" w:bidi="ar-SA"/>
        </w:rPr>
        <w:t>«Перечень населённых пунктов Республики Карелия, подверженных угрозе лесных пожаров»</w:t>
      </w:r>
      <w:r>
        <w:rPr>
          <w:rFonts w:eastAsia="Times New Roman" w:cs="Times New Roman"/>
          <w:b w:val="false"/>
          <w:bCs w:val="false"/>
          <w:i w:val="false"/>
          <w:iCs w:val="false"/>
          <w:strike w:val="false"/>
          <w:dstrike w:val="false"/>
          <w:outline w:val="false"/>
          <w:shadow w:val="false"/>
          <w:color w:val="auto"/>
          <w:sz w:val="28"/>
          <w:szCs w:val="28"/>
          <w:u w:val="none"/>
          <w:lang w:val="ru-RU" w:bidi="ar-SA"/>
        </w:rPr>
        <w:t>) (приложение № 7, рекомендуемое).</w:t>
      </w:r>
    </w:p>
    <w:p>
      <w:pPr>
        <w:pStyle w:val="Style23"/>
        <w:widowControl/>
        <w:numPr>
          <w:ilvl w:val="0"/>
          <w:numId w:val="0"/>
        </w:numPr>
        <w:suppressLineNumbers/>
        <w:bidi w:val="0"/>
        <w:ind w:left="0" w:right="0" w:firstLine="709"/>
        <w:jc w:val="both"/>
        <w:rPr>
          <w:rFonts w:ascii="Times New Roman" w:hAnsi="Times New Roman" w:eastAsia="Times New Roman" w:cs="Times New Roman"/>
          <w:b w:val="false"/>
          <w:bCs w:val="false"/>
          <w:i w:val="false"/>
          <w:i w:val="false"/>
          <w:iCs w:val="false"/>
          <w:strike w:val="false"/>
          <w:dstrike w:val="false"/>
          <w:outline w:val="false"/>
          <w:shadow w:val="false"/>
          <w:color w:val="auto"/>
          <w:sz w:val="28"/>
          <w:szCs w:val="28"/>
          <w:u w:val="none"/>
          <w:lang w:val="ru-RU" w:bidi="ar-SA"/>
        </w:rPr>
      </w:pPr>
      <w:r>
        <w:rPr>
          <w:rFonts w:eastAsia="Times New Roman" w:cs="Times New Roman"/>
          <w:b w:val="false"/>
          <w:bCs w:val="false"/>
          <w:i w:val="false"/>
          <w:iCs w:val="false"/>
          <w:strike w:val="false"/>
          <w:dstrike w:val="false"/>
          <w:outline w:val="false"/>
          <w:shadow w:val="false"/>
          <w:color w:val="auto"/>
          <w:sz w:val="28"/>
          <w:szCs w:val="28"/>
          <w:u w:val="none"/>
          <w:lang w:val="ru-RU" w:bidi="ar-SA"/>
        </w:rPr>
      </w:r>
    </w:p>
    <w:p>
      <w:pPr>
        <w:pStyle w:val="Style23"/>
        <w:widowControl/>
        <w:numPr>
          <w:ilvl w:val="0"/>
          <w:numId w:val="0"/>
        </w:numPr>
        <w:suppressLineNumbers/>
        <w:bidi w:val="0"/>
        <w:spacing w:lineRule="auto" w:line="240"/>
        <w:ind w:left="0" w:right="0" w:firstLine="709"/>
        <w:jc w:val="both"/>
        <w:rPr>
          <w:rFonts w:ascii="Times New Roman" w:hAnsi="Times New Roman" w:eastAsia="Times New Roman" w:cs="Times New Roman"/>
          <w:b w:val="false"/>
          <w:bCs w:val="false"/>
          <w:i w:val="false"/>
          <w:i w:val="false"/>
          <w:iCs w:val="false"/>
          <w:strike w:val="false"/>
          <w:dstrike w:val="false"/>
          <w:outline w:val="false"/>
          <w:shadow w:val="false"/>
          <w:color w:val="auto"/>
          <w:kern w:val="0"/>
          <w:sz w:val="28"/>
          <w:szCs w:val="28"/>
          <w:u w:val="none"/>
          <w:lang w:val="ru-RU" w:eastAsia="zh-CN" w:bidi="ar-SA"/>
        </w:rPr>
      </w:pP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zh-CN" w:bidi="ar-SA"/>
        </w:rPr>
        <w:t>Обращаем внимание, что в настоящих методических рекомендациях приведены примеры муниципальных правовых актов, которые могут быть взяты за основу при их разработки органами местного самоуправления.</w:t>
      </w:r>
    </w:p>
    <w:p>
      <w:pPr>
        <w:pStyle w:val="Normal"/>
        <w:spacing w:lineRule="auto" w:line="240"/>
        <w:ind w:firstLine="708"/>
        <w:jc w:val="both"/>
        <w:rPr/>
      </w:pP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zh-CN" w:bidi="ar-SA"/>
        </w:rPr>
        <w:t xml:space="preserve">Муниципальные правовые акты разрабатываются органами местного самоуправления самостоятельно с учетом предоставленных полномочий и </w:t>
      </w: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zh-CN" w:bidi="ar-SA"/>
        </w:rPr>
        <w:t xml:space="preserve">могут </w:t>
      </w: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zh-CN" w:bidi="ar-SA"/>
        </w:rPr>
        <w:t>отличаться от рекомендуемых приме</w:t>
      </w: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ru-RU" w:bidi="ar-SA"/>
        </w:rPr>
        <w:t>ров</w:t>
      </w:r>
      <w:r>
        <w:rPr>
          <w:rFonts w:eastAsia="Times New Roman" w:cs="Times New Roman"/>
          <w:b w:val="false"/>
          <w:bCs w:val="false"/>
          <w:i w:val="false"/>
          <w:iCs w:val="false"/>
          <w:strike w:val="false"/>
          <w:dstrike w:val="false"/>
          <w:outline w:val="false"/>
          <w:shadow w:val="false"/>
          <w:color w:val="auto"/>
          <w:kern w:val="0"/>
          <w:sz w:val="28"/>
          <w:szCs w:val="28"/>
          <w:u w:val="none"/>
          <w:lang w:val="ru-RU" w:eastAsia="ru-RU" w:bidi="ar-SA"/>
        </w:rPr>
        <w:t xml:space="preserve">. </w:t>
      </w:r>
    </w:p>
    <w:p>
      <w:pPr>
        <w:pStyle w:val="Style23"/>
        <w:widowControl/>
        <w:numPr>
          <w:ilvl w:val="0"/>
          <w:numId w:val="0"/>
        </w:numPr>
        <w:suppressLineNumbers/>
        <w:bidi w:val="0"/>
        <w:ind w:left="0" w:right="0" w:firstLine="709"/>
        <w:jc w:val="both"/>
        <w:rPr>
          <w:b w:val="false"/>
          <w:bCs w:val="false"/>
          <w:sz w:val="28"/>
          <w:szCs w:val="28"/>
        </w:rPr>
      </w:pPr>
      <w:r>
        <w:rPr>
          <w:b w:val="false"/>
          <w:bCs w:val="false"/>
          <w:sz w:val="28"/>
          <w:szCs w:val="28"/>
        </w:rPr>
      </w:r>
    </w:p>
    <w:p>
      <w:pPr>
        <w:pStyle w:val="Normal"/>
        <w:widowControl/>
        <w:bidi w:val="0"/>
        <w:ind w:left="0" w:right="0" w:hanging="0"/>
        <w:jc w:val="center"/>
        <w:rPr/>
      </w:pPr>
      <w:r>
        <w:rPr>
          <w:b w:val="false"/>
          <w:bCs w:val="false"/>
          <w:sz w:val="28"/>
          <w:szCs w:val="28"/>
        </w:rPr>
        <w:t>Литература:</w:t>
      </w:r>
    </w:p>
    <w:p>
      <w:pPr>
        <w:pStyle w:val="Normal"/>
        <w:ind w:firstLine="570"/>
        <w:jc w:val="center"/>
        <w:rPr>
          <w:b/>
        </w:rPr>
      </w:pPr>
      <w:r>
        <w:rPr>
          <w:b/>
        </w:rPr>
      </w:r>
    </w:p>
    <w:p>
      <w:pPr>
        <w:pStyle w:val="Normal"/>
        <w:widowControl/>
        <w:numPr>
          <w:ilvl w:val="0"/>
          <w:numId w:val="1"/>
        </w:numPr>
        <w:tabs>
          <w:tab w:val="clear" w:pos="708"/>
          <w:tab w:val="left" w:pos="1138" w:leader="none"/>
        </w:tabs>
        <w:bidi w:val="0"/>
        <w:ind w:left="0" w:right="0" w:firstLine="709"/>
        <w:jc w:val="both"/>
        <w:rPr/>
      </w:pPr>
      <w:r>
        <w:rPr>
          <w:sz w:val="28"/>
          <w:szCs w:val="28"/>
        </w:rPr>
        <w:t>Федеральный закон от 06.10.2003 г. № 131 «Об общих принципах организации местного самоуправления в Российской Федерации».</w:t>
      </w:r>
    </w:p>
    <w:p>
      <w:pPr>
        <w:pStyle w:val="Normal"/>
        <w:widowControl/>
        <w:numPr>
          <w:ilvl w:val="0"/>
          <w:numId w:val="1"/>
        </w:numPr>
        <w:tabs>
          <w:tab w:val="clear" w:pos="708"/>
          <w:tab w:val="left" w:pos="1138" w:leader="none"/>
        </w:tabs>
        <w:bidi w:val="0"/>
        <w:ind w:left="0" w:right="0" w:firstLine="709"/>
        <w:jc w:val="both"/>
        <w:rPr/>
      </w:pPr>
      <w:r>
        <w:rPr>
          <w:sz w:val="28"/>
          <w:szCs w:val="28"/>
        </w:rPr>
        <w:t>Федеральный закон от 21.12.1994 г. № 69 «О пожарной безопасности».</w:t>
      </w:r>
    </w:p>
    <w:sectPr>
      <w:headerReference w:type="even" r:id="rId4"/>
      <w:headerReference w:type="default" r:id="rId5"/>
      <w:headerReference w:type="first" r:id="rId6"/>
      <w:type w:val="nextPage"/>
      <w:pgSz w:w="11906" w:h="16838"/>
      <w:pgMar w:left="1417" w:right="567" w:gutter="0" w:header="1134" w:top="1693"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Verdana">
    <w:charset w:val="01"/>
    <w:family w:val="roman"/>
    <w:pitch w:val="default"/>
  </w:font>
  <w:font w:name="Arial">
    <w:charset w:val="01"/>
    <w:family w:val="roman"/>
    <w:pitch w:val="default"/>
  </w:font>
  <w:font w:name="Tahoma">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jc w:val="center"/>
      <w:rPr/>
    </w:pPr>
    <w:r>
      <w:rPr/>
      <w:fldChar w:fldCharType="begin"/>
    </w:r>
    <w:r>
      <w:rPr/>
      <w:instrText xml:space="preserve"> PAGE </w:instrText>
    </w:r>
    <w:r>
      <w:rPr/>
      <w:fldChar w:fldCharType="separate"/>
    </w:r>
    <w:r>
      <w:rPr/>
      <w:t>6</w:t>
    </w:r>
    <w:r>
      <w:rPr/>
      <w:fldChar w:fldCharType="end"/>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jc w:val="center"/>
      <w:rPr/>
    </w:pPr>
    <w:r>
      <w:rPr/>
      <w:fldChar w:fldCharType="begin"/>
    </w:r>
    <w:r>
      <w:rPr/>
      <w:instrText xml:space="preserve"> PAGE </w:instrText>
    </w:r>
    <w:r>
      <w:rPr/>
      <w:fldChar w:fldCharType="separate"/>
    </w:r>
    <w:r>
      <w:rPr/>
      <w:t>5</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jc w:val="center"/>
      <w:rPr/>
    </w:pPr>
    <w:r>
      <w:rPr/>
      <w:fldChar w:fldCharType="begin"/>
    </w:r>
    <w:r>
      <w:rPr/>
      <w:instrText xml:space="preserve"> PAGE </w:instrText>
    </w:r>
    <w:r>
      <w:rPr/>
      <w:fldChar w:fldCharType="separate"/>
    </w:r>
    <w:r>
      <w:rPr/>
      <w:t>2</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290"/>
        </w:tabs>
        <w:ind w:left="1290" w:hanging="663"/>
      </w:pPr>
      <w:rPr>
        <w:sz w:val="28"/>
        <w:szCs w:val="2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80"/>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Tahoma" w:cs="Noto Sans Devanagari"/>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character" w:styleId="WW8Num1z0">
    <w:name w:val="WW8Num1z0"/>
    <w:qFormat/>
    <w:rPr>
      <w:sz w:val="28"/>
      <w:szCs w:val="28"/>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Style14">
    <w:name w:val="Основной шрифт абзаца"/>
    <w:qFormat/>
    <w:rPr/>
  </w:style>
  <w:style w:type="character" w:styleId="Style15">
    <w:name w:val="Page Number"/>
    <w:basedOn w:val="Style14"/>
    <w:rPr/>
  </w:style>
  <w:style w:type="character" w:styleId="-">
    <w:name w:val="Hyperlink"/>
    <w:rPr>
      <w:color w:val="000080"/>
      <w:u w:val="single"/>
      <w:lang w:val="zxx" w:eastAsia="zxx" w:bidi="zxx"/>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pPr>
      <w:spacing w:before="0" w:after="120"/>
    </w:pPr>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Char">
    <w:name w:val="Char"/>
    <w:basedOn w:val="Normal"/>
    <w:qFormat/>
    <w:pPr>
      <w:keepLines/>
      <w:spacing w:lineRule="exact" w:line="240" w:before="0" w:after="160"/>
    </w:pPr>
    <w:rPr>
      <w:rFonts w:ascii="Verdana" w:hAnsi="Verdana" w:eastAsia="MS Mincho;Arial Unicode MS" w:cs="Franklin Gothic Book"/>
      <w:sz w:val="20"/>
      <w:szCs w:val="20"/>
      <w:lang w:val="en-US"/>
    </w:rPr>
  </w:style>
  <w:style w:type="paragraph" w:styleId="Style21">
    <w:name w:val="Колонтитул"/>
    <w:basedOn w:val="Normal"/>
    <w:qFormat/>
    <w:pPr/>
    <w:rPr/>
  </w:style>
  <w:style w:type="paragraph" w:styleId="Style22">
    <w:name w:val="Header"/>
    <w:basedOn w:val="Normal"/>
    <w:pPr>
      <w:tabs>
        <w:tab w:val="clear" w:pos="708"/>
        <w:tab w:val="center" w:pos="4677" w:leader="none"/>
        <w:tab w:val="right" w:pos="9355" w:leader="none"/>
      </w:tabs>
    </w:pPr>
    <w:rPr/>
  </w:style>
  <w:style w:type="paragraph" w:styleId="ConsNormal">
    <w:name w:val="Con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2CharCharCharCharCharCharCharCharCharCharCharCharCharCharCharChar">
    <w:name w:val=" Знак Знак2 Char Char Знак Знак Char Char Знак Знак Char Char Знак Знак Char Char Знак Знак Char Char Знак Знак Char Char Знак Знак Char Char Знак Знак Char Char"/>
    <w:basedOn w:val="Normal"/>
    <w:qFormat/>
    <w:pPr>
      <w:spacing w:before="280" w:after="280"/>
    </w:pPr>
    <w:rPr>
      <w:rFonts w:ascii="Tahoma" w:hAnsi="Tahoma" w:cs="Tahoma"/>
      <w:sz w:val="20"/>
      <w:szCs w:val="20"/>
      <w:lang w:val="en-US"/>
    </w:rPr>
  </w:style>
  <w:style w:type="paragraph" w:styleId="Style23">
    <w:name w:val="Содержимое таблицы"/>
    <w:basedOn w:val="Normal"/>
    <w:qFormat/>
    <w:pPr>
      <w:suppressLineNumbers/>
    </w:pPr>
    <w:rPr/>
  </w:style>
  <w:style w:type="paragraph" w:styleId="Style24">
    <w:name w:val="Заголовок таблицы"/>
    <w:basedOn w:val="Style23"/>
    <w:qFormat/>
    <w:pPr>
      <w:suppressLineNumbers/>
      <w:jc w:val="center"/>
    </w:pPr>
    <w:rPr>
      <w:b/>
      <w:bCs/>
    </w:rPr>
  </w:style>
  <w:style w:type="paragraph" w:styleId="Style25">
    <w:name w:val="Содержимое врезки"/>
    <w:basedOn w:val="Normal"/>
    <w:qFormat/>
    <w:pPr/>
    <w:rPr/>
  </w:style>
  <w:style w:type="paragraph" w:styleId="Style26">
    <w:name w:val="Обычный (веб)"/>
    <w:basedOn w:val="Normal"/>
    <w:qFormat/>
    <w:pPr>
      <w:widowControl/>
      <w:spacing w:before="280" w:after="280"/>
    </w:pPr>
    <w:rPr>
      <w:sz w:val="24"/>
      <w:szCs w:val="24"/>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Normal.dot_x005F_x0000_</Template>
  <TotalTime>649</TotalTime>
  <Application>LibreOffice/7.5.6.2$Linux_X86_64 LibreOffice_project/50$Build-2</Application>
  <AppVersion>15.0000</AppVersion>
  <Pages>6</Pages>
  <Words>921</Words>
  <Characters>7049</Characters>
  <CharactersWithSpaces>7936</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2013-11-28T16:02:00Z</dcterms:created>
  <dc:creator>gusenkov</dc:creator>
  <dc:description/>
  <dc:language>ru-RU</dc:language>
  <cp:lastModifiedBy/>
  <cp:lastPrinted>2023-06-01T16:36:35Z</cp:lastPrinted>
  <dcterms:modified xsi:type="dcterms:W3CDTF">2024-03-18T11:17:55Z</dcterms:modified>
  <cp:revision>114</cp:revision>
  <dc:subject/>
  <dc:title/>
</cp:coreProperties>
</file>

<file path=docProps/custom.xml><?xml version="1.0" encoding="utf-8"?>
<Properties xmlns="http://schemas.openxmlformats.org/officeDocument/2006/custom-properties" xmlns:vt="http://schemas.openxmlformats.org/officeDocument/2006/docPropsVTypes"/>
</file>